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2838" w14:textId="77777777" w:rsidR="0070702E" w:rsidRPr="008C17EE" w:rsidRDefault="0070702E" w:rsidP="00707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</w:pPr>
      <w:r w:rsidRPr="008C17EE"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  <w:t>Sukoon</w:t>
      </w:r>
      <w:r w:rsidR="003A35D5" w:rsidRPr="008C17EE"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  <w:t xml:space="preserve"> Takaful</w:t>
      </w:r>
      <w:r w:rsidRPr="008C17EE"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  <w:t xml:space="preserve"> PJSC</w:t>
      </w:r>
    </w:p>
    <w:p w14:paraId="49D7BC38" w14:textId="77777777" w:rsidR="0070702E" w:rsidRPr="008C17EE" w:rsidRDefault="0070702E" w:rsidP="00707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</w:pPr>
      <w:r w:rsidRPr="008C17EE"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  <w:t>Announcement on the Opening of Nomination for</w:t>
      </w:r>
    </w:p>
    <w:p w14:paraId="745C7BF2" w14:textId="77777777" w:rsidR="0070702E" w:rsidRPr="008C17EE" w:rsidRDefault="0070702E" w:rsidP="00707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</w:pPr>
      <w:r w:rsidRPr="008C17EE">
        <w:rPr>
          <w:rFonts w:asciiTheme="majorBidi" w:hAnsiTheme="majorBidi" w:cstheme="majorBidi"/>
          <w:b/>
          <w:bCs/>
          <w:color w:val="4C4C4C"/>
          <w:kern w:val="0"/>
          <w:sz w:val="20"/>
          <w:szCs w:val="20"/>
          <w:u w:val="single"/>
        </w:rPr>
        <w:t>Membership of the Board of Directors</w:t>
      </w:r>
    </w:p>
    <w:p w14:paraId="1B0BD752" w14:textId="77777777" w:rsidR="0070702E" w:rsidRPr="004B37BC" w:rsidRDefault="0070702E" w:rsidP="0070702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C4C4C"/>
          <w:kern w:val="0"/>
          <w:sz w:val="18"/>
          <w:szCs w:val="18"/>
        </w:rPr>
      </w:pPr>
    </w:p>
    <w:p w14:paraId="3050278D" w14:textId="77777777" w:rsidR="0070702E" w:rsidRPr="007B3E80" w:rsidRDefault="006A3783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Sukoon’s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 xml:space="preserve">Takaful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>Board of Directors has the honor to inform the shareholders of the opening of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>nomination for the Board of Directors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>membership during the period from 8 a.m. on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Tuesday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3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  <w:vertAlign w:val="superscript"/>
        </w:rPr>
        <w:t>rd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 xml:space="preserve"> of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 xml:space="preserve">February 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>202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6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to 6 p.m. on 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>Thursday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1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>2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  <w:vertAlign w:val="superscript"/>
        </w:rPr>
        <w:t>th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 xml:space="preserve"> of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>February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 202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6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. </w:t>
      </w:r>
    </w:p>
    <w:p w14:paraId="0E0A1FFF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Any person who meets the conditions of nomination for the Board membership may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nominate himself/herself for the membership by an application to be submitted to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Management of the </w:t>
      </w:r>
      <w:r w:rsidR="006A3783" w:rsidRPr="007B3E80">
        <w:rPr>
          <w:rFonts w:asciiTheme="minorBidi" w:hAnsiTheme="minorBidi" w:cstheme="minorBidi"/>
          <w:kern w:val="0"/>
          <w:sz w:val="18"/>
          <w:szCs w:val="18"/>
        </w:rPr>
        <w:t>company.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The application shall comply with the following guidelines:</w:t>
      </w:r>
    </w:p>
    <w:p w14:paraId="357A2FF6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2B8EBE4B" w14:textId="77777777" w:rsidR="0070702E" w:rsidRPr="007B3E80" w:rsidRDefault="0070702E" w:rsidP="0051608C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1.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The number of members to be elected to the Board of Directors is 7 members. The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following conditions shall be respected in all cases for the Board membership:</w:t>
      </w:r>
    </w:p>
    <w:p w14:paraId="1E27197E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180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• At least 1/3 of the Board members must be independent members.</w:t>
      </w:r>
    </w:p>
    <w:p w14:paraId="5D09ACDF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180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• Majority of Board members shall be UAE Nationals.</w:t>
      </w:r>
    </w:p>
    <w:p w14:paraId="5739C665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180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• All Board members must be non-executive; and</w:t>
      </w:r>
    </w:p>
    <w:p w14:paraId="5E7CF34C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180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>• At least one of the Board members must be female.</w:t>
      </w:r>
    </w:p>
    <w:p w14:paraId="7A8E85F2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48B57EDD" w14:textId="77777777" w:rsidR="0070702E" w:rsidRPr="007B3E80" w:rsidRDefault="0070702E" w:rsidP="0051608C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2.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Nominations for Board membership shall remain open for period of (10) 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>days, at least,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from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date of the announcement, in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accordance with the requirements of Article (9) of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Chairman of Authority’s Board of Directors’ Decision no. (3/ Chairman) of 2020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concerning Joint Stock Companies Governance Guide and as amended from time to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time.</w:t>
      </w:r>
    </w:p>
    <w:p w14:paraId="75D0B821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6334ADA4" w14:textId="2DFA3C13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3.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Whoever nominates himself/herself for membership to the Board shall satisfy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conditions set forth in the Federal Decree-Law No. (32) of 2021 regarding Commercial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Companies and the Chairman of Authority’s Board of Directors’ Decision no. (3/Chairman) of 2020 concerning Joint Stock Companies Governance Guide and as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amended from time to time</w:t>
      </w:r>
      <w:r w:rsidR="004B37BC" w:rsidRPr="007B3E80">
        <w:rPr>
          <w:rFonts w:asciiTheme="minorBidi" w:hAnsiTheme="minorBidi" w:cstheme="minorBidi"/>
          <w:kern w:val="0"/>
          <w:sz w:val="18"/>
          <w:szCs w:val="18"/>
        </w:rPr>
        <w:t>,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in addition to the Central Bank of the UAE’s Circular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No.</w:t>
      </w:r>
      <w:r w:rsidR="0028325C" w:rsidRPr="007B3E80">
        <w:rPr>
          <w:rFonts w:asciiTheme="minorBidi" w:hAnsiTheme="minorBidi" w:cstheme="minorBidi"/>
          <w:kern w:val="0"/>
          <w:sz w:val="18"/>
          <w:szCs w:val="18"/>
        </w:rPr>
        <w:t>24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/20</w:t>
      </w:r>
      <w:r w:rsidR="0028325C" w:rsidRPr="007B3E80">
        <w:rPr>
          <w:rFonts w:asciiTheme="minorBidi" w:hAnsiTheme="minorBidi" w:cstheme="minorBidi"/>
          <w:kern w:val="0"/>
          <w:sz w:val="18"/>
          <w:szCs w:val="18"/>
        </w:rPr>
        <w:t>22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on the 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>corporate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governance Regulations and Standards for Insurance companies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 xml:space="preserve"> and 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 xml:space="preserve">Fit and Proper Regulations 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 xml:space="preserve">issued by the Central Bank of the UAE. </w:t>
      </w:r>
    </w:p>
    <w:p w14:paraId="76F65CE5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065BA4D3" w14:textId="77777777" w:rsidR="009F664F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4.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The nomination application shall contain the documents referred to in Article (10) of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Chairman of Authority’s Board of Directors’ Decision no. (3/ Chairman) of 2020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concerning Joint Stock Companies Governance </w:t>
      </w:r>
      <w:r w:rsidR="0028325C" w:rsidRPr="007B3E80">
        <w:rPr>
          <w:rFonts w:asciiTheme="minorBidi" w:hAnsiTheme="minorBidi" w:cstheme="minorBidi"/>
          <w:kern w:val="0"/>
          <w:sz w:val="18"/>
          <w:szCs w:val="18"/>
        </w:rPr>
        <w:t xml:space="preserve">and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Guide and as amended from time to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time</w:t>
      </w:r>
      <w:r w:rsidR="009F664F" w:rsidRPr="007B3E80">
        <w:rPr>
          <w:rFonts w:asciiTheme="minorBidi" w:hAnsiTheme="minorBidi" w:cstheme="minorBidi"/>
          <w:kern w:val="0"/>
          <w:sz w:val="18"/>
          <w:szCs w:val="18"/>
        </w:rPr>
        <w:t xml:space="preserve"> and documents requested by the Central Bank of the UAE. </w:t>
      </w:r>
    </w:p>
    <w:p w14:paraId="6456A1BE" w14:textId="2C9BC4A5" w:rsidR="0070702E" w:rsidRPr="007B3E80" w:rsidRDefault="009F664F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  <w:u w:val="single"/>
        </w:rPr>
      </w:pP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To inquire about the required documents and forms that need to be signed, please contact the Board Secretary at: </w:t>
      </w: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  <w:u w:val="single"/>
        </w:rPr>
        <w:t>Board</w:t>
      </w:r>
      <w:r w:rsidR="004B37BC" w:rsidRPr="007B3E80">
        <w:rPr>
          <w:rFonts w:asciiTheme="minorBidi" w:hAnsiTheme="minorBidi" w:cstheme="minorBidi"/>
          <w:b/>
          <w:bCs/>
          <w:kern w:val="0"/>
          <w:sz w:val="18"/>
          <w:szCs w:val="18"/>
          <w:u w:val="single"/>
        </w:rPr>
        <w:t>.</w:t>
      </w: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  <w:u w:val="single"/>
        </w:rPr>
        <w:t>Secretary@Sukoon</w:t>
      </w:r>
      <w:r w:rsidR="004B37BC" w:rsidRPr="007B3E80">
        <w:rPr>
          <w:rFonts w:asciiTheme="minorBidi" w:hAnsiTheme="minorBidi" w:cstheme="minorBidi"/>
          <w:b/>
          <w:bCs/>
          <w:kern w:val="0"/>
          <w:sz w:val="18"/>
          <w:szCs w:val="18"/>
          <w:u w:val="single"/>
        </w:rPr>
        <w:t>Takaful</w:t>
      </w: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  <w:u w:val="single"/>
        </w:rPr>
        <w:t>.com</w:t>
      </w:r>
    </w:p>
    <w:p w14:paraId="6A87ED3B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7BA4F042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5.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The candidate may not, after closing the nomination, relinquish his/her nomination to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another person. No application will be accepted after closing the nomination.</w:t>
      </w:r>
    </w:p>
    <w:p w14:paraId="01A20F8A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413AC27A" w14:textId="7777777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6. </w:t>
      </w:r>
      <w:r w:rsidR="00582435" w:rsidRPr="007B3E80">
        <w:rPr>
          <w:rFonts w:asciiTheme="minorBidi" w:hAnsiTheme="minorBidi" w:cstheme="minorBidi"/>
          <w:kern w:val="0"/>
          <w:sz w:val="18"/>
          <w:szCs w:val="18"/>
        </w:rPr>
        <w:t>Sukoon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 xml:space="preserve"> Takaful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will publish the list of names and nomination data of the candidates on the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6A3783" w:rsidRPr="007B3E80">
        <w:rPr>
          <w:rFonts w:asciiTheme="minorBidi" w:hAnsiTheme="minorBidi" w:cstheme="minorBidi"/>
          <w:kern w:val="0"/>
          <w:sz w:val="18"/>
          <w:szCs w:val="18"/>
        </w:rPr>
        <w:t>company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’s website after the receipt of the Central Bank approval and no later than 2 days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before the </w:t>
      </w:r>
      <w:r w:rsidR="006A3783" w:rsidRPr="007B3E80">
        <w:rPr>
          <w:rFonts w:asciiTheme="minorBidi" w:hAnsiTheme="minorBidi" w:cstheme="minorBidi"/>
          <w:kern w:val="0"/>
          <w:sz w:val="18"/>
          <w:szCs w:val="18"/>
        </w:rPr>
        <w:t>company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’s Annual General Assembly.</w:t>
      </w:r>
    </w:p>
    <w:p w14:paraId="064395A5" w14:textId="77777777" w:rsidR="00582435" w:rsidRPr="007B3E80" w:rsidRDefault="00582435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69D09948" w14:textId="73EC9A67" w:rsidR="0070702E" w:rsidRPr="007B3E80" w:rsidRDefault="0070702E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7.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The Securities and Commodities Authority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>,</w:t>
      </w:r>
      <w:r w:rsidR="00AE0B02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Dubai Financial Market 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 xml:space="preserve">and the Central Bank of the 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>UAE,</w:t>
      </w:r>
      <w:r w:rsidR="009C28BA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shall be provided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with a list of the candidates’ names after closing the nomination.</w:t>
      </w:r>
    </w:p>
    <w:p w14:paraId="02953DCB" w14:textId="77777777" w:rsidR="006A3783" w:rsidRPr="007B3E80" w:rsidRDefault="006A3783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32705808" w14:textId="019D2D45" w:rsidR="00582435" w:rsidRPr="007B3E80" w:rsidRDefault="006A3783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>8.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 All approved candidates will then be presented to the Company’s AGM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 xml:space="preserve">(After getting the Central Bank of the UAE approval)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 xml:space="preserve">for final </w:t>
      </w:r>
      <w:r w:rsidR="00432679" w:rsidRPr="007B3E80">
        <w:rPr>
          <w:rFonts w:asciiTheme="minorBidi" w:hAnsiTheme="minorBidi" w:cstheme="minorBidi"/>
          <w:kern w:val="0"/>
          <w:sz w:val="18"/>
          <w:szCs w:val="18"/>
        </w:rPr>
        <w:t>voting and</w:t>
      </w:r>
      <w:r w:rsidR="001918C9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r w:rsidRPr="007B3E80">
        <w:rPr>
          <w:rFonts w:asciiTheme="minorBidi" w:hAnsiTheme="minorBidi" w:cstheme="minorBidi"/>
          <w:kern w:val="0"/>
          <w:sz w:val="18"/>
          <w:szCs w:val="18"/>
        </w:rPr>
        <w:t>ratifying of the new Board of Directors.</w:t>
      </w:r>
    </w:p>
    <w:p w14:paraId="3D343F61" w14:textId="77777777" w:rsidR="001866D1" w:rsidRPr="007B3E80" w:rsidRDefault="001866D1" w:rsidP="001866D1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</w:p>
    <w:p w14:paraId="791EBFCA" w14:textId="6ED3AE27" w:rsidR="001918C9" w:rsidRPr="007B3E80" w:rsidRDefault="006A3783" w:rsidP="004B37BC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kern w:val="0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>9</w:t>
      </w:r>
      <w:r w:rsidR="0070702E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Applications should be sent by courier to the following address: 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Deira, near AL Ghurair Center – Sukoon HQ – Emirate of Dubai, UAE.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Attention: 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Rana Attieh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–</w:t>
      </w:r>
      <w:r w:rsidR="003A35D5" w:rsidRPr="007B3E80">
        <w:rPr>
          <w:rFonts w:asciiTheme="minorBidi" w:hAnsiTheme="minorBidi" w:cstheme="minorBidi"/>
          <w:kern w:val="0"/>
          <w:sz w:val="18"/>
          <w:szCs w:val="18"/>
        </w:rPr>
        <w:t>Board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Secretary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 xml:space="preserve">. 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or by </w:t>
      </w:r>
      <w:r w:rsidR="0051608C" w:rsidRPr="007B3E80">
        <w:rPr>
          <w:rFonts w:asciiTheme="minorBidi" w:hAnsiTheme="minorBidi" w:cstheme="minorBidi"/>
          <w:kern w:val="0"/>
          <w:sz w:val="18"/>
          <w:szCs w:val="18"/>
        </w:rPr>
        <w:t>email</w:t>
      </w:r>
      <w:r w:rsidR="0070702E" w:rsidRPr="007B3E80">
        <w:rPr>
          <w:rFonts w:asciiTheme="minorBidi" w:hAnsiTheme="minorBidi" w:cstheme="minorBidi"/>
          <w:kern w:val="0"/>
          <w:sz w:val="18"/>
          <w:szCs w:val="18"/>
        </w:rPr>
        <w:t xml:space="preserve"> below:</w:t>
      </w:r>
      <w:r w:rsidR="00582435" w:rsidRPr="007B3E80">
        <w:rPr>
          <w:rFonts w:asciiTheme="minorBidi" w:hAnsiTheme="minorBidi" w:cstheme="minorBidi"/>
          <w:kern w:val="0"/>
          <w:sz w:val="18"/>
          <w:szCs w:val="18"/>
        </w:rPr>
        <w:t xml:space="preserve"> </w:t>
      </w:r>
      <w:bookmarkStart w:id="0" w:name="_Hlk221029616"/>
      <w:r w:rsidR="004E5725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fldChar w:fldCharType="begin"/>
      </w:r>
      <w:r w:rsidR="004E5725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instrText>HYPERLINK "mailto:Board.Secretary@sukoontakaful.com"</w:instrText>
      </w:r>
      <w:r w:rsidR="004E5725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fldChar w:fldCharType="separate"/>
      </w:r>
      <w:r w:rsidR="004E5725" w:rsidRPr="007B3E80">
        <w:rPr>
          <w:rStyle w:val="Hyperlink"/>
          <w:rFonts w:asciiTheme="minorBidi" w:hAnsiTheme="minorBidi" w:cstheme="minorBidi"/>
          <w:b/>
          <w:bCs/>
          <w:color w:val="auto"/>
          <w:kern w:val="0"/>
          <w:sz w:val="18"/>
          <w:szCs w:val="18"/>
        </w:rPr>
        <w:t>Board.Secretary@sukoontakaful.com</w:t>
      </w:r>
      <w:r w:rsidR="004E5725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fldChar w:fldCharType="end"/>
      </w:r>
      <w:r w:rsidR="004E5725"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 </w:t>
      </w:r>
    </w:p>
    <w:p w14:paraId="0D742672" w14:textId="77777777" w:rsidR="004B37BC" w:rsidRPr="007B3E80" w:rsidRDefault="004B37BC" w:rsidP="0041085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kern w:val="0"/>
          <w:sz w:val="18"/>
          <w:szCs w:val="18"/>
        </w:rPr>
      </w:pPr>
    </w:p>
    <w:p w14:paraId="4816CC70" w14:textId="77777777" w:rsidR="004B37BC" w:rsidRPr="007B3E80" w:rsidRDefault="004B37BC" w:rsidP="004B37BC">
      <w:pPr>
        <w:rPr>
          <w:rFonts w:asciiTheme="minorBidi" w:hAnsiTheme="minorBidi" w:cstheme="minorBidi"/>
          <w:sz w:val="18"/>
          <w:szCs w:val="18"/>
        </w:rPr>
      </w:pPr>
      <w:r w:rsidRPr="007B3E80">
        <w:rPr>
          <w:rFonts w:asciiTheme="minorBidi" w:hAnsiTheme="minorBidi" w:cstheme="minorBidi"/>
          <w:b/>
          <w:bCs/>
          <w:kern w:val="0"/>
          <w:sz w:val="18"/>
          <w:szCs w:val="18"/>
        </w:rPr>
        <w:t xml:space="preserve">10. </w:t>
      </w:r>
      <w:r w:rsidRPr="007B3E80">
        <w:rPr>
          <w:rFonts w:asciiTheme="minorBidi" w:hAnsiTheme="minorBidi" w:cstheme="minorBidi"/>
          <w:sz w:val="18"/>
          <w:szCs w:val="18"/>
        </w:rPr>
        <w:t xml:space="preserve">The candidates who successfully submit the nomination application within the nomination period, will be requested to submit additional documentation within 2 days of closing the nomination, in accordance with the applicable regulations and Directors Fit and Proper Policy of the company.  </w:t>
      </w:r>
    </w:p>
    <w:p w14:paraId="0A5B627F" w14:textId="2DADC905" w:rsidR="004B37BC" w:rsidRPr="008C17EE" w:rsidRDefault="004B37BC" w:rsidP="00410858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5E00"/>
          <w:kern w:val="0"/>
          <w:sz w:val="20"/>
          <w:szCs w:val="20"/>
        </w:rPr>
      </w:pPr>
    </w:p>
    <w:bookmarkEnd w:id="0"/>
    <w:p w14:paraId="2BB0B387" w14:textId="77777777" w:rsidR="001918C9" w:rsidRPr="008C17EE" w:rsidRDefault="001918C9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5E00"/>
          <w:kern w:val="0"/>
          <w:sz w:val="20"/>
          <w:szCs w:val="20"/>
        </w:rPr>
      </w:pPr>
    </w:p>
    <w:p w14:paraId="34E4015C" w14:textId="77777777" w:rsidR="001918C9" w:rsidRPr="008C17EE" w:rsidRDefault="001918C9" w:rsidP="001918C9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5E00"/>
          <w:kern w:val="0"/>
          <w:sz w:val="20"/>
          <w:szCs w:val="20"/>
        </w:rPr>
      </w:pPr>
    </w:p>
    <w:p w14:paraId="21769229" w14:textId="7F05809B" w:rsidR="0070702E" w:rsidRPr="008C17EE" w:rsidRDefault="0070702E" w:rsidP="0070702E">
      <w:pPr>
        <w:rPr>
          <w:rFonts w:asciiTheme="majorBidi" w:hAnsiTheme="majorBidi" w:cstheme="majorBidi"/>
          <w:sz w:val="20"/>
          <w:szCs w:val="20"/>
        </w:rPr>
      </w:pPr>
    </w:p>
    <w:sectPr w:rsidR="0070702E" w:rsidRPr="008C17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D668" w14:textId="77777777" w:rsidR="00345476" w:rsidRDefault="00345476" w:rsidP="0070702E">
      <w:pPr>
        <w:spacing w:after="0" w:line="240" w:lineRule="auto"/>
      </w:pPr>
      <w:r>
        <w:separator/>
      </w:r>
    </w:p>
  </w:endnote>
  <w:endnote w:type="continuationSeparator" w:id="0">
    <w:p w14:paraId="2B6FC33D" w14:textId="77777777" w:rsidR="00345476" w:rsidRDefault="00345476" w:rsidP="0070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08A1" w14:textId="77777777" w:rsidR="008C17EE" w:rsidRPr="008C17EE" w:rsidRDefault="008C17EE" w:rsidP="008C17EE">
    <w:pPr>
      <w:shd w:val="clear" w:color="auto" w:fill="FFFFFF"/>
      <w:ind w:left="90"/>
      <w:jc w:val="center"/>
      <w:rPr>
        <w:rFonts w:ascii="Times New Roman" w:hAnsi="Times New Roman"/>
        <w:color w:val="595959"/>
        <w:sz w:val="10"/>
        <w:szCs w:val="10"/>
        <w:lang w:val="en-GB"/>
      </w:rPr>
    </w:pPr>
    <w:r w:rsidRPr="008C17EE">
      <w:rPr>
        <w:rFonts w:ascii="Times New Roman" w:hAnsi="Times New Roman"/>
        <w:color w:val="595959"/>
        <w:sz w:val="11"/>
        <w:szCs w:val="11"/>
        <w:lang w:val="en-GB"/>
      </w:rPr>
      <w:t>SUKOONTAKAFUL.COM | +971 4 282 4403 | P.O. Box 1993 | Dubai, United Arab Emirates</w:t>
    </w:r>
    <w:r w:rsidRPr="008C17EE">
      <w:rPr>
        <w:rFonts w:ascii="Times New Roman" w:hAnsi="Times New Roman"/>
        <w:color w:val="595959"/>
        <w:sz w:val="10"/>
        <w:szCs w:val="10"/>
        <w:lang w:val="en-GB"/>
      </w:rPr>
      <w:br/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>سكون تكافل ش م ع، رأس المال المدفوع ١٥٤،٠٠٠،٠٠٠ در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ﻫﻢ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إ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ﻣﺎ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را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ﺗﻲ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،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ر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ﻗﻢ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.ر.ت </w:t>
    </w:r>
    <w:r w:rsidRPr="008C17EE">
      <w:rPr>
        <w:color w:val="595959"/>
        <w:sz w:val="10"/>
        <w:szCs w:val="10"/>
        <w:rtl/>
      </w:rPr>
      <w:t>٢٠٦٧٤٢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>، مُرخّصة من قبل 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ﻟﻤﺼﺮ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ف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ﻟﻤﺮﻛﺰ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ي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ﻟﺪ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و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ﻟﺔ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ﻹﻣﺎ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رات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ﻟﻌﺮﺑﻴﺔ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ا</w:t>
    </w:r>
    <w:r w:rsidRPr="008C17EE">
      <w:rPr>
        <w:rFonts w:ascii="Times New Roman" w:eastAsia="Times New Roman" w:hAnsi="Times New Roman" w:hint="cs"/>
        <w:color w:val="595959"/>
        <w:sz w:val="10"/>
        <w:szCs w:val="10"/>
        <w:shd w:val="clear" w:color="auto" w:fill="FFFFFF"/>
        <w:rtl/>
      </w:rPr>
      <w:t>ﻟﻤﺘﺤﺪ</w:t>
    </w:r>
    <w:r w:rsidRPr="008C17EE">
      <w:rPr>
        <w:rFonts w:ascii="Times New Roman" w:eastAsia="Times New Roman" w:hAnsi="Times New Roman" w:hint="eastAsia"/>
        <w:color w:val="595959"/>
        <w:sz w:val="10"/>
        <w:szCs w:val="10"/>
        <w:shd w:val="clear" w:color="auto" w:fill="FFFFFF"/>
        <w:rtl/>
      </w:rPr>
      <w:t>ة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</w:rPr>
      <w:t xml:space="preserve"> بموجب رقم قيد 006 بتاريخ 1984/12/15، رقم السجل الضريبي 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  <w:rtl/>
        <w:lang w:bidi="fa-IR"/>
      </w:rPr>
      <w:t>١٠٠٠٣٤٣١٦٨٠٠٠٠٣</w:t>
    </w:r>
    <w:r w:rsidRPr="008C17EE">
      <w:rPr>
        <w:rFonts w:ascii="Times New Roman" w:eastAsia="Times New Roman" w:hAnsi="Times New Roman"/>
        <w:color w:val="595959"/>
        <w:sz w:val="10"/>
        <w:szCs w:val="10"/>
        <w:shd w:val="clear" w:color="auto" w:fill="FFFFFF"/>
      </w:rPr>
      <w:br/>
    </w:r>
    <w:r w:rsidRPr="008C17EE">
      <w:rPr>
        <w:rFonts w:ascii="Times New Roman" w:hAnsi="Times New Roman"/>
        <w:color w:val="595959"/>
        <w:sz w:val="11"/>
        <w:szCs w:val="11"/>
        <w:lang w:val="en-GB"/>
      </w:rPr>
      <w:t>Sukoon Takaful PJSC, Paid up Capital AED 154,000,000, C.L. No. 206742 Regulated by the Central Bank of the UAE, No. 006 dated 15/12/1984 TRN 100034316800003</w:t>
    </w:r>
  </w:p>
  <w:p w14:paraId="4CF98F1D" w14:textId="77777777" w:rsidR="008C17EE" w:rsidRPr="008C17EE" w:rsidRDefault="008C17EE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F1A7" w14:textId="77777777" w:rsidR="00345476" w:rsidRDefault="00345476" w:rsidP="0070702E">
      <w:pPr>
        <w:spacing w:after="0" w:line="240" w:lineRule="auto"/>
      </w:pPr>
      <w:r>
        <w:separator/>
      </w:r>
    </w:p>
  </w:footnote>
  <w:footnote w:type="continuationSeparator" w:id="0">
    <w:p w14:paraId="4ABCCE29" w14:textId="77777777" w:rsidR="00345476" w:rsidRDefault="00345476" w:rsidP="0070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4BB6" w14:textId="19D1A674" w:rsidR="008C17EE" w:rsidRDefault="001604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C4DC7" wp14:editId="1CEBB6D4">
          <wp:simplePos x="0" y="0"/>
          <wp:positionH relativeFrom="margin">
            <wp:posOffset>-34925</wp:posOffset>
          </wp:positionH>
          <wp:positionV relativeFrom="paragraph">
            <wp:posOffset>-193040</wp:posOffset>
          </wp:positionV>
          <wp:extent cx="1417955" cy="471170"/>
          <wp:effectExtent l="0" t="0" r="0" b="0"/>
          <wp:wrapThrough wrapText="bothSides">
            <wp:wrapPolygon edited="0">
              <wp:start x="0" y="0"/>
              <wp:lineTo x="0" y="20960"/>
              <wp:lineTo x="21184" y="20960"/>
              <wp:lineTo x="21184" y="0"/>
              <wp:lineTo x="0" y="0"/>
            </wp:wrapPolygon>
          </wp:wrapThrough>
          <wp:docPr id="1" name="Picture 675812488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5812488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0A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5D5D0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53B0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65295C"/>
    <w:multiLevelType w:val="hybridMultilevel"/>
    <w:tmpl w:val="FFFFFFFF"/>
    <w:lvl w:ilvl="0" w:tplc="D1D4343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71E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87547014">
    <w:abstractNumId w:val="0"/>
  </w:num>
  <w:num w:numId="2" w16cid:durableId="725689644">
    <w:abstractNumId w:val="2"/>
  </w:num>
  <w:num w:numId="3" w16cid:durableId="966351926">
    <w:abstractNumId w:val="1"/>
  </w:num>
  <w:num w:numId="4" w16cid:durableId="1394811828">
    <w:abstractNumId w:val="4"/>
  </w:num>
  <w:num w:numId="5" w16cid:durableId="181063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2E"/>
    <w:rsid w:val="001200CA"/>
    <w:rsid w:val="0016045A"/>
    <w:rsid w:val="001866D1"/>
    <w:rsid w:val="001918C9"/>
    <w:rsid w:val="002375B5"/>
    <w:rsid w:val="002676C4"/>
    <w:rsid w:val="0028325C"/>
    <w:rsid w:val="00345476"/>
    <w:rsid w:val="00355FA5"/>
    <w:rsid w:val="003A209F"/>
    <w:rsid w:val="003A35D5"/>
    <w:rsid w:val="00410858"/>
    <w:rsid w:val="00432679"/>
    <w:rsid w:val="004B37BC"/>
    <w:rsid w:val="004E5725"/>
    <w:rsid w:val="0051608C"/>
    <w:rsid w:val="005322AE"/>
    <w:rsid w:val="00582435"/>
    <w:rsid w:val="00650359"/>
    <w:rsid w:val="006A2FE1"/>
    <w:rsid w:val="006A3783"/>
    <w:rsid w:val="006C4BAA"/>
    <w:rsid w:val="0070702E"/>
    <w:rsid w:val="00793A0F"/>
    <w:rsid w:val="007B3E80"/>
    <w:rsid w:val="007E004B"/>
    <w:rsid w:val="00805617"/>
    <w:rsid w:val="008C17EE"/>
    <w:rsid w:val="009401A0"/>
    <w:rsid w:val="00965ACA"/>
    <w:rsid w:val="009C28BA"/>
    <w:rsid w:val="009F664F"/>
    <w:rsid w:val="00A47085"/>
    <w:rsid w:val="00AE0B02"/>
    <w:rsid w:val="00C632FF"/>
    <w:rsid w:val="00CE5EEE"/>
    <w:rsid w:val="00D700DC"/>
    <w:rsid w:val="00D8564A"/>
    <w:rsid w:val="00E84E02"/>
    <w:rsid w:val="00E90368"/>
    <w:rsid w:val="00F02FC0"/>
    <w:rsid w:val="00F20367"/>
    <w:rsid w:val="00FB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FBEAFB"/>
  <w14:defaultImageDpi w14:val="0"/>
  <w15:docId w15:val="{40C90C67-ADE2-4ED7-9C05-F0A0FEC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02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07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02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0702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02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Attieh</dc:creator>
  <cp:keywords/>
  <dc:description/>
  <cp:lastModifiedBy>Rana Attieh</cp:lastModifiedBy>
  <cp:revision>2</cp:revision>
  <cp:lastPrinted>2026-02-03T13:05:00Z</cp:lastPrinted>
  <dcterms:created xsi:type="dcterms:W3CDTF">2026-02-03T13:07:00Z</dcterms:created>
  <dcterms:modified xsi:type="dcterms:W3CDTF">2026-02-03T13:07:00Z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ff0831-216b-4ae7-8b2c-d9ba4c6b4812_Enabled">
    <vt:lpwstr>true</vt:lpwstr>
  </property>
  <property fmtid="{D5CDD505-2E9C-101B-9397-08002B2CF9AE}" pid="3" name="MSIP_Label_2aff0831-216b-4ae7-8b2c-d9ba4c6b4812_SetDate">
    <vt:lpwstr>2026-02-03T12:52:00Z</vt:lpwstr>
  </property>
  <property fmtid="{D5CDD505-2E9C-101B-9397-08002B2CF9AE}" pid="4" name="MSIP_Label_2aff0831-216b-4ae7-8b2c-d9ba4c6b4812_Method">
    <vt:lpwstr>Standard</vt:lpwstr>
  </property>
  <property fmtid="{D5CDD505-2E9C-101B-9397-08002B2CF9AE}" pid="5" name="MSIP_Label_2aff0831-216b-4ae7-8b2c-d9ba4c6b4812_Name">
    <vt:lpwstr>OIC-Business</vt:lpwstr>
  </property>
  <property fmtid="{D5CDD505-2E9C-101B-9397-08002B2CF9AE}" pid="6" name="MSIP_Label_2aff0831-216b-4ae7-8b2c-d9ba4c6b4812_SiteId">
    <vt:lpwstr>ae3fbee1-4067-456c-a2c7-48b7697e0cdc</vt:lpwstr>
  </property>
  <property fmtid="{D5CDD505-2E9C-101B-9397-08002B2CF9AE}" pid="7" name="MSIP_Label_2aff0831-216b-4ae7-8b2c-d9ba4c6b4812_ActionId">
    <vt:lpwstr>d664532a-8336-4c3f-8ae6-aa28de15299f</vt:lpwstr>
  </property>
  <property fmtid="{D5CDD505-2E9C-101B-9397-08002B2CF9AE}" pid="8" name="MSIP_Label_2aff0831-216b-4ae7-8b2c-d9ba4c6b4812_ContentBits">
    <vt:lpwstr>2</vt:lpwstr>
  </property>
</Properties>
</file>